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5ED9" w14:textId="18054DF3" w:rsidR="005F2D62" w:rsidRDefault="005F2D62" w:rsidP="005F2D62">
      <w:pPr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noProof/>
          <w:color w:val="000000"/>
          <w:sz w:val="18"/>
          <w:szCs w:val="18"/>
        </w:rPr>
        <w:drawing>
          <wp:inline distT="0" distB="0" distL="0" distR="0" wp14:anchorId="552D9A89" wp14:editId="42322013">
            <wp:extent cx="2961005" cy="457200"/>
            <wp:effectExtent l="0" t="0" r="0" b="0"/>
            <wp:docPr id="120261558" name="Grafik 1" descr="graf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985F1" w14:textId="77777777" w:rsidR="005F2D62" w:rsidRDefault="005F2D62" w:rsidP="005F2D62">
      <w:pPr>
        <w:spacing w:after="240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Kleintierpraxis                     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Steubenstra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>βe 4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Dr. Judith Steinmetz                DE-97688 Bad Kissingen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Frankfurter Str. 12                 Fax-Nr.: 0971-68546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97737 Gemünden/Main                 Tel.:    0971-72020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Deutschland                         </w:t>
      </w:r>
      <w:r>
        <w:rPr>
          <w:rStyle w:val="Fett"/>
          <w:rFonts w:ascii="Courier New" w:eastAsia="Times New Roman" w:hAnsi="Courier New" w:cs="Courier New"/>
          <w:color w:val="000000"/>
          <w:sz w:val="18"/>
          <w:szCs w:val="18"/>
        </w:rPr>
        <w:t>Untersuchungsbefund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                             Nr.: 2507-W-170656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                             Probeneingang:       18-07-2025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                             Untersuchungsbeginn: 18-07-2025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                             Datum Befund:        21-07-2025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                             Untersuchungsende:   21-07-2025</w:t>
      </w:r>
    </w:p>
    <w:p w14:paraId="7CF469F4" w14:textId="77777777" w:rsidR="005F2D62" w:rsidRDefault="005F2D62" w:rsidP="005F2D62">
      <w:pPr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Angaben zum Patienten: Hund          männlich       * 28-08-2021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                Deutsche Dogge          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Patientenbesitzer:     Schmidt, Andreas (11465)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Probenmaterial:        EDTA-Blut               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Probenentnahme:        17-07-2025                              </w:t>
      </w:r>
    </w:p>
    <w:p w14:paraId="0A5AFB4B" w14:textId="4791BC10" w:rsidR="008A104F" w:rsidRDefault="005F2D62" w:rsidP="005F2D62">
      <w:r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Name:               </w:t>
      </w:r>
      <w:r>
        <w:rPr>
          <w:rStyle w:val="Fett"/>
          <w:rFonts w:ascii="Courier New" w:eastAsia="Times New Roman" w:hAnsi="Courier New" w:cs="Courier New"/>
          <w:color w:val="000000"/>
          <w:sz w:val="18"/>
          <w:szCs w:val="18"/>
          <w:shd w:val="clear" w:color="auto" w:fill="FFFFFF"/>
        </w:rPr>
        <w:t>Elvis vo Losser Wolfsanger      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ZB-Nummer:          </w:t>
      </w:r>
      <w:r>
        <w:rPr>
          <w:rStyle w:val="Fett"/>
          <w:rFonts w:ascii="Courier New" w:eastAsia="Times New Roman" w:hAnsi="Courier New" w:cs="Courier New"/>
          <w:color w:val="000000"/>
          <w:sz w:val="18"/>
          <w:szCs w:val="18"/>
          <w:shd w:val="clear" w:color="auto" w:fill="FFFFFF"/>
        </w:rPr>
        <w:t>     ---                        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Chip-Nummer:        </w:t>
      </w:r>
      <w:r>
        <w:rPr>
          <w:rStyle w:val="Fett"/>
          <w:rFonts w:ascii="Courier New" w:eastAsia="Times New Roman" w:hAnsi="Courier New" w:cs="Courier New"/>
          <w:color w:val="000000"/>
          <w:sz w:val="18"/>
          <w:szCs w:val="18"/>
          <w:shd w:val="clear" w:color="auto" w:fill="FFFFFF"/>
        </w:rPr>
        <w:t>276098108345221                                 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Tattoo-Nummer:      </w:t>
      </w:r>
      <w:r>
        <w:rPr>
          <w:rStyle w:val="Fett"/>
          <w:rFonts w:ascii="Courier New" w:eastAsia="Times New Roman" w:hAnsi="Courier New" w:cs="Courier New"/>
          <w:color w:val="000000"/>
          <w:sz w:val="18"/>
          <w:szCs w:val="18"/>
          <w:shd w:val="clear" w:color="auto" w:fill="FFFFFF"/>
        </w:rPr>
        <w:t>     ---                        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K-Lokus - PCR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Ergebnis: Genotyp 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Kb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>/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Kb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Interpretation: Das untersuchte Tier ist reinerbig (homozygot) für das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Kb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>-Allel.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Der Test erfasst die Allele Kb und ky. Allelische Reihe: Kb dominant über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ky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K-Lokus (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brindle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Bitte beachten Sie: Ab sofort bietet LABOKLIN eine zusätzliche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Analyse für die 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Stromung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> (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brindle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>) an, die Sie separat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anfordern können.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Diese ermöglicht es bei Hunden, die im klassischen K-Lokus Test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den Genotyp KB/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ky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> als Ergebnis haben, das Allel 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kbr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> und dessen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exakten Genotyp zu ermitteln.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              </w:t>
      </w:r>
      <w:r>
        <w:rPr>
          <w:rStyle w:val="Fett"/>
          <w:rFonts w:ascii="Courier New" w:eastAsia="Times New Roman" w:hAnsi="Courier New" w:cs="Courier New"/>
          <w:color w:val="000000"/>
          <w:sz w:val="18"/>
          <w:szCs w:val="18"/>
          <w:shd w:val="clear" w:color="auto" w:fill="FFFFFF"/>
        </w:rPr>
        <w:t>                                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Probenentnahme: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Der folgende unabhängige Probennehmer (Tierarzt, Zuchtwart, o.ä.)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hat durch seine Unterschrift die Probenentnahme und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Überprüfung der Identität des Tieres bestätigt: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Juliane Müller - Praxis Dr. Steinmetz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              </w:t>
      </w:r>
      <w:r>
        <w:rPr>
          <w:rStyle w:val="Fett"/>
          <w:rFonts w:ascii="Courier New" w:eastAsia="Times New Roman" w:hAnsi="Courier New" w:cs="Courier New"/>
          <w:color w:val="000000"/>
          <w:sz w:val="18"/>
          <w:szCs w:val="18"/>
          <w:shd w:val="clear" w:color="auto" w:fill="FFFFFF"/>
        </w:rPr>
        <w:t>                                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Die Ergebnisse gelten nur für das im Labor eingegangene Probenmaterial.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Die Verantwortung für die Richtigkeit der Angaben zu den eingesandten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Proben liegt beim Einsender. Gewährleistungsverpflichtungen dafür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können nicht übernommen werden. Schadensersatzverpflichtungen sind,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soweit gesetzlich zulässig, auf den Rechnungswert der durchgeführten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Untersuchung/en beschränkt, im Übrigen haften wir nur für Vorsatz und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grobe Fahrlässigkeit, soweit gesetzlich möglich.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>Weitere Genveränderungen, die ebenfalls die Ausprägung der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Erkrankung/Merkmale beeinflussen können, können nicht ausgeschlossen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werden. Die Untersuchung/en erfolgte/n nach dem derzeitigen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allgemeinen wissenschaftlichen Kenntnisstand.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Das Labor ist für die auf diesem Befund aufgeführten Untersuchungen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akkreditiert nach DIN EN ISO/IEC 17025:2018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(ausgenommen Partnerlabor-Leistungen).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              </w:t>
      </w:r>
      <w:r>
        <w:rPr>
          <w:rStyle w:val="Fett"/>
          <w:rFonts w:ascii="Courier New" w:eastAsia="Times New Roman" w:hAnsi="Courier New" w:cs="Courier New"/>
          <w:color w:val="000000"/>
          <w:sz w:val="18"/>
          <w:szCs w:val="18"/>
          <w:shd w:val="clear" w:color="auto" w:fill="FFFFFF"/>
        </w:rPr>
        <w:t>                                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              </w:t>
      </w:r>
      <w:r>
        <w:rPr>
          <w:rStyle w:val="Fett"/>
          <w:rFonts w:ascii="Courier New" w:eastAsia="Times New Roman" w:hAnsi="Courier New" w:cs="Courier New"/>
          <w:color w:val="000000"/>
          <w:sz w:val="18"/>
          <w:szCs w:val="18"/>
          <w:shd w:val="clear" w:color="auto" w:fill="FFFFFF"/>
        </w:rPr>
        <w:t>                                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              </w:t>
      </w:r>
      <w:r>
        <w:rPr>
          <w:rStyle w:val="Fett"/>
          <w:rFonts w:ascii="Courier New" w:eastAsia="Times New Roman" w:hAnsi="Courier New" w:cs="Courier New"/>
          <w:color w:val="000000"/>
          <w:sz w:val="18"/>
          <w:szCs w:val="18"/>
          <w:shd w:val="clear" w:color="auto" w:fill="FFFFFF"/>
        </w:rPr>
        <w:t>                                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              </w:t>
      </w:r>
      <w:r>
        <w:rPr>
          <w:rStyle w:val="Fett"/>
          <w:rFonts w:ascii="Courier New" w:eastAsia="Times New Roman" w:hAnsi="Courier New" w:cs="Courier New"/>
          <w:color w:val="000000"/>
          <w:sz w:val="18"/>
          <w:szCs w:val="18"/>
          <w:shd w:val="clear" w:color="auto" w:fill="FFFFFF"/>
        </w:rPr>
        <w:t>                                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   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br/>
      </w:r>
    </w:p>
    <w:sectPr w:rsidR="008A104F" w:rsidSect="0071527B">
      <w:pgSz w:w="11906" w:h="16838"/>
      <w:pgMar w:top="1191" w:right="1418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62"/>
    <w:rsid w:val="005F2D62"/>
    <w:rsid w:val="0071527B"/>
    <w:rsid w:val="007A06DE"/>
    <w:rsid w:val="00877366"/>
    <w:rsid w:val="008A104F"/>
    <w:rsid w:val="009C40D8"/>
    <w:rsid w:val="00A0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C90C"/>
  <w15:chartTrackingRefBased/>
  <w15:docId w15:val="{502FB087-4D36-4D5B-98D6-B42FF34F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2D62"/>
    <w:pPr>
      <w:spacing w:after="0" w:line="240" w:lineRule="auto"/>
    </w:pPr>
    <w:rPr>
      <w:rFonts w:ascii="Aptos" w:hAnsi="Aptos" w:cs="Aptos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F2D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F2D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F2D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F2D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F2D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F2D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2D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2D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2D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2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F2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F2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F2D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F2D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F2D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2D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2D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2D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F2D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F2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F2D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F2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2D6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F2D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F2D6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F2D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F2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2D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F2D62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5F2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3020</Characters>
  <Application>Microsoft Office Word</Application>
  <DocSecurity>0</DocSecurity>
  <Lines>25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Friedemann</dc:creator>
  <cp:keywords/>
  <dc:description/>
  <cp:lastModifiedBy>Renate Friedemann</cp:lastModifiedBy>
  <cp:revision>1</cp:revision>
  <dcterms:created xsi:type="dcterms:W3CDTF">2025-08-09T10:59:00Z</dcterms:created>
  <dcterms:modified xsi:type="dcterms:W3CDTF">2025-08-09T11:00:00Z</dcterms:modified>
</cp:coreProperties>
</file>